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028" w:rsidRPr="0000319C" w:rsidRDefault="00FC3028" w:rsidP="00FC3028">
      <w:pPr>
        <w:rPr>
          <w:rFonts w:ascii="Times New Roman" w:hAnsi="Times New Roman" w:cs="Times New Roman"/>
          <w:sz w:val="24"/>
          <w:szCs w:val="24"/>
        </w:rPr>
      </w:pPr>
    </w:p>
    <w:p w:rsidR="00000427" w:rsidRPr="00000427" w:rsidRDefault="00000427" w:rsidP="00000427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</w:pPr>
      <w:r w:rsidRPr="00000427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State Board of Technical Education &amp;Training (TS)</w:t>
      </w:r>
    </w:p>
    <w:p w:rsidR="00000427" w:rsidRPr="00000427" w:rsidRDefault="00000427" w:rsidP="00000427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</w:pPr>
      <w:r w:rsidRPr="00000427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Department of Technical Education</w:t>
      </w:r>
    </w:p>
    <w:tbl>
      <w:tblPr>
        <w:tblW w:w="10032" w:type="dxa"/>
        <w:tblInd w:w="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328"/>
        <w:gridCol w:w="680"/>
        <w:gridCol w:w="2551"/>
        <w:gridCol w:w="1155"/>
        <w:gridCol w:w="936"/>
        <w:gridCol w:w="461"/>
        <w:gridCol w:w="1921"/>
      </w:tblGrid>
      <w:tr w:rsidR="006A3D46" w:rsidRPr="00E16EF5" w:rsidTr="007E37E5">
        <w:trPr>
          <w:trHeight w:val="494"/>
        </w:trPr>
        <w:tc>
          <w:tcPr>
            <w:tcW w:w="2328" w:type="dxa"/>
          </w:tcPr>
          <w:p w:rsidR="006A3D46" w:rsidRPr="00E16EF5" w:rsidRDefault="006A3D46" w:rsidP="007E37E5">
            <w:pPr>
              <w:pStyle w:val="TableParagraph"/>
              <w:spacing w:line="249" w:lineRule="exact"/>
              <w:ind w:left="114"/>
              <w:rPr>
                <w:sz w:val="24"/>
                <w:szCs w:val="24"/>
              </w:rPr>
            </w:pPr>
            <w:r w:rsidRPr="00E16EF5">
              <w:rPr>
                <w:sz w:val="24"/>
                <w:szCs w:val="24"/>
              </w:rPr>
              <w:t>Course</w:t>
            </w:r>
            <w:r w:rsidRPr="00E16EF5">
              <w:rPr>
                <w:spacing w:val="-2"/>
                <w:sz w:val="24"/>
                <w:szCs w:val="24"/>
              </w:rPr>
              <w:t>Title:</w:t>
            </w:r>
          </w:p>
        </w:tc>
        <w:tc>
          <w:tcPr>
            <w:tcW w:w="3231" w:type="dxa"/>
            <w:gridSpan w:val="2"/>
          </w:tcPr>
          <w:p w:rsidR="006A3D46" w:rsidRPr="00E16EF5" w:rsidRDefault="00705C99" w:rsidP="007E37E5">
            <w:pPr>
              <w:pStyle w:val="TableParagraph"/>
              <w:spacing w:line="251" w:lineRule="exact"/>
              <w:ind w:left="11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Prest</w:t>
            </w:r>
            <w:r w:rsidR="00E03101">
              <w:rPr>
                <w:b/>
                <w:sz w:val="24"/>
                <w:szCs w:val="24"/>
              </w:rPr>
              <w:t>ressing</w:t>
            </w:r>
            <w:r w:rsidR="00062883">
              <w:rPr>
                <w:b/>
                <w:sz w:val="24"/>
                <w:szCs w:val="24"/>
              </w:rPr>
              <w:t>, Precast and PE</w:t>
            </w:r>
            <w:r w:rsidR="00CE4EA6">
              <w:rPr>
                <w:b/>
                <w:sz w:val="24"/>
                <w:szCs w:val="24"/>
              </w:rPr>
              <w:t xml:space="preserve">B Structures </w:t>
            </w:r>
          </w:p>
        </w:tc>
        <w:tc>
          <w:tcPr>
            <w:tcW w:w="1155" w:type="dxa"/>
            <w:tcBorders>
              <w:right w:val="nil"/>
            </w:tcBorders>
          </w:tcPr>
          <w:p w:rsidR="006A3D46" w:rsidRPr="00E16EF5" w:rsidRDefault="006A3D46" w:rsidP="007E37E5">
            <w:pPr>
              <w:pStyle w:val="TableParagraph"/>
              <w:spacing w:line="234" w:lineRule="exact"/>
              <w:ind w:left="116"/>
              <w:rPr>
                <w:sz w:val="24"/>
                <w:szCs w:val="24"/>
              </w:rPr>
            </w:pPr>
            <w:r w:rsidRPr="00E16EF5">
              <w:rPr>
                <w:spacing w:val="-2"/>
                <w:sz w:val="24"/>
                <w:szCs w:val="24"/>
              </w:rPr>
              <w:t>Cours</w:t>
            </w:r>
            <w:r w:rsidRPr="00E16EF5">
              <w:rPr>
                <w:spacing w:val="-10"/>
                <w:sz w:val="24"/>
                <w:szCs w:val="24"/>
              </w:rPr>
              <w:t>e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:rsidR="006A3D46" w:rsidRPr="00E16EF5" w:rsidRDefault="006A3D46" w:rsidP="007E37E5">
            <w:pPr>
              <w:pStyle w:val="TableParagraph"/>
              <w:spacing w:line="249" w:lineRule="exact"/>
              <w:ind w:left="48"/>
              <w:rPr>
                <w:sz w:val="24"/>
                <w:szCs w:val="24"/>
              </w:rPr>
            </w:pPr>
            <w:r w:rsidRPr="00E16EF5">
              <w:rPr>
                <w:spacing w:val="-4"/>
                <w:sz w:val="24"/>
                <w:szCs w:val="24"/>
              </w:rPr>
              <w:t>Code</w:t>
            </w:r>
          </w:p>
        </w:tc>
        <w:tc>
          <w:tcPr>
            <w:tcW w:w="461" w:type="dxa"/>
            <w:tcBorders>
              <w:left w:val="nil"/>
            </w:tcBorders>
          </w:tcPr>
          <w:p w:rsidR="006A3D46" w:rsidRPr="00E16EF5" w:rsidRDefault="006A3D46" w:rsidP="007E37E5">
            <w:pPr>
              <w:pStyle w:val="TableParagraph"/>
              <w:spacing w:line="249" w:lineRule="exact"/>
              <w:ind w:right="175"/>
              <w:jc w:val="center"/>
              <w:rPr>
                <w:sz w:val="24"/>
                <w:szCs w:val="24"/>
              </w:rPr>
            </w:pPr>
            <w:r w:rsidRPr="00E16EF5">
              <w:rPr>
                <w:spacing w:val="-10"/>
                <w:sz w:val="24"/>
                <w:szCs w:val="24"/>
              </w:rPr>
              <w:t>:</w:t>
            </w:r>
          </w:p>
        </w:tc>
        <w:tc>
          <w:tcPr>
            <w:tcW w:w="1921" w:type="dxa"/>
          </w:tcPr>
          <w:p w:rsidR="006A3D46" w:rsidRPr="00E16EF5" w:rsidRDefault="006A3D46" w:rsidP="007E37E5">
            <w:pPr>
              <w:pStyle w:val="TableParagraph"/>
              <w:spacing w:line="261" w:lineRule="exact"/>
              <w:ind w:left="116"/>
              <w:rPr>
                <w:b/>
                <w:sz w:val="24"/>
                <w:szCs w:val="24"/>
              </w:rPr>
            </w:pPr>
            <w:r w:rsidRPr="00E16EF5">
              <w:rPr>
                <w:b/>
                <w:spacing w:val="-2"/>
                <w:sz w:val="24"/>
                <w:szCs w:val="24"/>
              </w:rPr>
              <w:t>CE-</w:t>
            </w:r>
            <w:r w:rsidRPr="00E16EF5">
              <w:rPr>
                <w:b/>
                <w:spacing w:val="-5"/>
                <w:sz w:val="24"/>
                <w:szCs w:val="24"/>
              </w:rPr>
              <w:t>50</w:t>
            </w:r>
            <w:r w:rsidR="00F208D1">
              <w:rPr>
                <w:b/>
                <w:spacing w:val="-5"/>
                <w:sz w:val="24"/>
                <w:szCs w:val="24"/>
              </w:rPr>
              <w:t>3</w:t>
            </w:r>
          </w:p>
        </w:tc>
      </w:tr>
      <w:tr w:rsidR="006A3D46" w:rsidRPr="00E16EF5" w:rsidTr="007E37E5">
        <w:trPr>
          <w:trHeight w:val="467"/>
        </w:trPr>
        <w:tc>
          <w:tcPr>
            <w:tcW w:w="3008" w:type="dxa"/>
            <w:gridSpan w:val="2"/>
          </w:tcPr>
          <w:p w:rsidR="006A3D46" w:rsidRPr="00E16EF5" w:rsidRDefault="006A3D46" w:rsidP="007E37E5">
            <w:pPr>
              <w:pStyle w:val="TableParagraph"/>
              <w:spacing w:line="239" w:lineRule="exact"/>
              <w:ind w:left="114"/>
              <w:rPr>
                <w:sz w:val="24"/>
                <w:szCs w:val="24"/>
              </w:rPr>
            </w:pPr>
            <w:r w:rsidRPr="00E16EF5">
              <w:rPr>
                <w:spacing w:val="-2"/>
                <w:sz w:val="24"/>
                <w:szCs w:val="24"/>
              </w:rPr>
              <w:t>Semester:</w:t>
            </w:r>
          </w:p>
        </w:tc>
        <w:tc>
          <w:tcPr>
            <w:tcW w:w="2551" w:type="dxa"/>
          </w:tcPr>
          <w:p w:rsidR="006A3D46" w:rsidRPr="00E16EF5" w:rsidRDefault="006A3D46" w:rsidP="007E37E5">
            <w:pPr>
              <w:pStyle w:val="TableParagraph"/>
              <w:spacing w:line="239" w:lineRule="exact"/>
              <w:ind w:left="116"/>
              <w:rPr>
                <w:b/>
                <w:sz w:val="24"/>
                <w:szCs w:val="24"/>
              </w:rPr>
            </w:pPr>
            <w:r w:rsidRPr="00E16EF5">
              <w:rPr>
                <w:b/>
                <w:sz w:val="24"/>
                <w:szCs w:val="24"/>
              </w:rPr>
              <w:t>V</w:t>
            </w:r>
            <w:r w:rsidRPr="00E16EF5">
              <w:rPr>
                <w:b/>
                <w:spacing w:val="-2"/>
                <w:sz w:val="24"/>
                <w:szCs w:val="24"/>
              </w:rPr>
              <w:t>Semester</w:t>
            </w:r>
          </w:p>
        </w:tc>
        <w:tc>
          <w:tcPr>
            <w:tcW w:w="1155" w:type="dxa"/>
            <w:tcBorders>
              <w:right w:val="nil"/>
            </w:tcBorders>
          </w:tcPr>
          <w:p w:rsidR="006A3D46" w:rsidRPr="00E16EF5" w:rsidRDefault="006A3D46" w:rsidP="007E37E5">
            <w:pPr>
              <w:pStyle w:val="TableParagraph"/>
              <w:spacing w:line="219" w:lineRule="exact"/>
              <w:ind w:left="116"/>
              <w:rPr>
                <w:sz w:val="24"/>
                <w:szCs w:val="24"/>
              </w:rPr>
            </w:pPr>
            <w:r w:rsidRPr="00E16EF5">
              <w:rPr>
                <w:spacing w:val="-2"/>
                <w:sz w:val="24"/>
                <w:szCs w:val="24"/>
              </w:rPr>
              <w:t>Cours</w:t>
            </w:r>
            <w:r w:rsidRPr="00E16EF5">
              <w:rPr>
                <w:spacing w:val="-10"/>
                <w:sz w:val="24"/>
                <w:szCs w:val="24"/>
              </w:rPr>
              <w:t>e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:rsidR="006A3D46" w:rsidRPr="00E16EF5" w:rsidRDefault="006A3D46" w:rsidP="007E37E5">
            <w:pPr>
              <w:pStyle w:val="TableParagraph"/>
              <w:spacing w:line="239" w:lineRule="exact"/>
              <w:ind w:left="48"/>
              <w:rPr>
                <w:sz w:val="24"/>
                <w:szCs w:val="24"/>
              </w:rPr>
            </w:pPr>
            <w:r w:rsidRPr="00E16EF5">
              <w:rPr>
                <w:spacing w:val="-4"/>
                <w:sz w:val="24"/>
                <w:szCs w:val="24"/>
              </w:rPr>
              <w:t>Group</w:t>
            </w:r>
          </w:p>
        </w:tc>
        <w:tc>
          <w:tcPr>
            <w:tcW w:w="461" w:type="dxa"/>
            <w:tcBorders>
              <w:left w:val="nil"/>
            </w:tcBorders>
          </w:tcPr>
          <w:p w:rsidR="006A3D46" w:rsidRPr="00E16EF5" w:rsidRDefault="006A3D46" w:rsidP="007E37E5">
            <w:pPr>
              <w:pStyle w:val="TableParagraph"/>
              <w:spacing w:line="239" w:lineRule="exact"/>
              <w:ind w:left="82" w:right="175"/>
              <w:jc w:val="center"/>
              <w:rPr>
                <w:sz w:val="24"/>
                <w:szCs w:val="24"/>
              </w:rPr>
            </w:pPr>
            <w:r w:rsidRPr="00E16EF5">
              <w:rPr>
                <w:spacing w:val="-10"/>
                <w:sz w:val="24"/>
                <w:szCs w:val="24"/>
              </w:rPr>
              <w:t>:</w:t>
            </w:r>
          </w:p>
        </w:tc>
        <w:tc>
          <w:tcPr>
            <w:tcW w:w="1921" w:type="dxa"/>
          </w:tcPr>
          <w:p w:rsidR="006A3D46" w:rsidRPr="00E16EF5" w:rsidRDefault="006A3D46" w:rsidP="007E37E5">
            <w:pPr>
              <w:pStyle w:val="TableParagraph"/>
              <w:spacing w:line="239" w:lineRule="exact"/>
              <w:ind w:left="116"/>
              <w:rPr>
                <w:b/>
                <w:sz w:val="24"/>
                <w:szCs w:val="24"/>
              </w:rPr>
            </w:pPr>
            <w:r w:rsidRPr="00E16EF5">
              <w:rPr>
                <w:b/>
                <w:spacing w:val="-4"/>
                <w:sz w:val="24"/>
                <w:szCs w:val="24"/>
              </w:rPr>
              <w:t>Core</w:t>
            </w:r>
          </w:p>
        </w:tc>
      </w:tr>
      <w:tr w:rsidR="006A3D46" w:rsidRPr="00E16EF5" w:rsidTr="007E37E5">
        <w:trPr>
          <w:trHeight w:val="506"/>
        </w:trPr>
        <w:tc>
          <w:tcPr>
            <w:tcW w:w="3008" w:type="dxa"/>
            <w:gridSpan w:val="2"/>
          </w:tcPr>
          <w:p w:rsidR="006A3D46" w:rsidRPr="00E16EF5" w:rsidRDefault="006A3D46" w:rsidP="007E37E5">
            <w:pPr>
              <w:pStyle w:val="TableParagraph"/>
              <w:spacing w:line="211" w:lineRule="auto"/>
              <w:ind w:left="114"/>
              <w:rPr>
                <w:sz w:val="24"/>
                <w:szCs w:val="24"/>
              </w:rPr>
            </w:pPr>
            <w:r w:rsidRPr="00E16EF5">
              <w:rPr>
                <w:sz w:val="24"/>
                <w:szCs w:val="24"/>
              </w:rPr>
              <w:t xml:space="preserve">TeachingSchemeinPeriods </w:t>
            </w:r>
            <w:r w:rsidRPr="00E16EF5">
              <w:rPr>
                <w:spacing w:val="-2"/>
                <w:sz w:val="24"/>
                <w:szCs w:val="24"/>
              </w:rPr>
              <w:t>(L:T:P):</w:t>
            </w:r>
          </w:p>
        </w:tc>
        <w:tc>
          <w:tcPr>
            <w:tcW w:w="2551" w:type="dxa"/>
          </w:tcPr>
          <w:p w:rsidR="006A3D46" w:rsidRPr="00E16EF5" w:rsidRDefault="006A3D46" w:rsidP="007E37E5">
            <w:pPr>
              <w:pStyle w:val="TableParagraph"/>
              <w:spacing w:line="251" w:lineRule="exact"/>
              <w:ind w:left="116"/>
              <w:rPr>
                <w:b/>
                <w:sz w:val="24"/>
                <w:szCs w:val="24"/>
              </w:rPr>
            </w:pPr>
            <w:r w:rsidRPr="00E16EF5">
              <w:rPr>
                <w:b/>
                <w:spacing w:val="-2"/>
                <w:sz w:val="24"/>
                <w:szCs w:val="24"/>
              </w:rPr>
              <w:t>60:15:0</w:t>
            </w:r>
          </w:p>
        </w:tc>
        <w:tc>
          <w:tcPr>
            <w:tcW w:w="1155" w:type="dxa"/>
            <w:tcBorders>
              <w:right w:val="nil"/>
            </w:tcBorders>
          </w:tcPr>
          <w:p w:rsidR="006A3D46" w:rsidRPr="00E16EF5" w:rsidRDefault="006A3D46" w:rsidP="007E37E5">
            <w:pPr>
              <w:pStyle w:val="TableParagraph"/>
              <w:spacing w:line="234" w:lineRule="exact"/>
              <w:ind w:left="116"/>
              <w:rPr>
                <w:sz w:val="24"/>
                <w:szCs w:val="24"/>
              </w:rPr>
            </w:pPr>
            <w:r w:rsidRPr="00E16EF5">
              <w:rPr>
                <w:spacing w:val="-2"/>
                <w:sz w:val="24"/>
                <w:szCs w:val="24"/>
              </w:rPr>
              <w:t>Credit</w:t>
            </w:r>
            <w:r w:rsidRPr="00E16EF5">
              <w:rPr>
                <w:spacing w:val="-10"/>
                <w:sz w:val="24"/>
                <w:szCs w:val="24"/>
              </w:rPr>
              <w:t>s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:rsidR="006A3D46" w:rsidRPr="00E16EF5" w:rsidRDefault="006A3D46" w:rsidP="007E37E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1" w:type="dxa"/>
            <w:tcBorders>
              <w:left w:val="nil"/>
            </w:tcBorders>
          </w:tcPr>
          <w:p w:rsidR="006A3D46" w:rsidRPr="00E16EF5" w:rsidRDefault="006A3D46" w:rsidP="007E37E5">
            <w:pPr>
              <w:pStyle w:val="TableParagraph"/>
              <w:spacing w:line="249" w:lineRule="exact"/>
              <w:ind w:left="72" w:right="175"/>
              <w:jc w:val="center"/>
              <w:rPr>
                <w:sz w:val="24"/>
                <w:szCs w:val="24"/>
              </w:rPr>
            </w:pPr>
            <w:r w:rsidRPr="00E16EF5">
              <w:rPr>
                <w:spacing w:val="-10"/>
                <w:sz w:val="24"/>
                <w:szCs w:val="24"/>
              </w:rPr>
              <w:t>:</w:t>
            </w:r>
          </w:p>
        </w:tc>
        <w:tc>
          <w:tcPr>
            <w:tcW w:w="1921" w:type="dxa"/>
          </w:tcPr>
          <w:p w:rsidR="006A3D46" w:rsidRPr="00E16EF5" w:rsidRDefault="006A3D46" w:rsidP="007E37E5">
            <w:pPr>
              <w:pStyle w:val="TableParagraph"/>
              <w:spacing w:line="251" w:lineRule="exact"/>
              <w:ind w:left="116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3</w:t>
            </w:r>
          </w:p>
        </w:tc>
      </w:tr>
      <w:tr w:rsidR="006A3D46" w:rsidRPr="00E16EF5" w:rsidTr="007E37E5">
        <w:trPr>
          <w:trHeight w:val="275"/>
        </w:trPr>
        <w:tc>
          <w:tcPr>
            <w:tcW w:w="2328" w:type="dxa"/>
            <w:tcBorders>
              <w:right w:val="nil"/>
            </w:tcBorders>
          </w:tcPr>
          <w:p w:rsidR="006A3D46" w:rsidRPr="00E16EF5" w:rsidRDefault="006A3D46" w:rsidP="007E37E5">
            <w:pPr>
              <w:pStyle w:val="TableParagraph"/>
              <w:spacing w:line="237" w:lineRule="exact"/>
              <w:ind w:left="114"/>
              <w:rPr>
                <w:sz w:val="24"/>
                <w:szCs w:val="24"/>
              </w:rPr>
            </w:pPr>
            <w:r w:rsidRPr="00E16EF5">
              <w:rPr>
                <w:spacing w:val="-2"/>
                <w:sz w:val="24"/>
                <w:szCs w:val="24"/>
              </w:rPr>
              <w:t>Methodology</w:t>
            </w:r>
          </w:p>
        </w:tc>
        <w:tc>
          <w:tcPr>
            <w:tcW w:w="680" w:type="dxa"/>
            <w:tcBorders>
              <w:left w:val="nil"/>
            </w:tcBorders>
          </w:tcPr>
          <w:p w:rsidR="006A3D46" w:rsidRPr="00E16EF5" w:rsidRDefault="006A3D46" w:rsidP="007E37E5">
            <w:pPr>
              <w:pStyle w:val="TableParagraph"/>
              <w:spacing w:line="237" w:lineRule="exact"/>
              <w:ind w:left="295"/>
              <w:rPr>
                <w:sz w:val="24"/>
                <w:szCs w:val="24"/>
              </w:rPr>
            </w:pPr>
            <w:r w:rsidRPr="00E16EF5">
              <w:rPr>
                <w:spacing w:val="-10"/>
                <w:sz w:val="24"/>
                <w:szCs w:val="24"/>
              </w:rPr>
              <w:t>:</w:t>
            </w:r>
          </w:p>
        </w:tc>
        <w:tc>
          <w:tcPr>
            <w:tcW w:w="2551" w:type="dxa"/>
          </w:tcPr>
          <w:p w:rsidR="006A3D46" w:rsidRPr="00E16EF5" w:rsidRDefault="006A3D46" w:rsidP="007E37E5">
            <w:pPr>
              <w:pStyle w:val="TableParagraph"/>
              <w:spacing w:line="237" w:lineRule="exact"/>
              <w:ind w:left="116"/>
              <w:rPr>
                <w:b/>
                <w:sz w:val="24"/>
                <w:szCs w:val="24"/>
              </w:rPr>
            </w:pPr>
            <w:r w:rsidRPr="00E16EF5">
              <w:rPr>
                <w:b/>
                <w:spacing w:val="-2"/>
                <w:sz w:val="24"/>
                <w:szCs w:val="24"/>
              </w:rPr>
              <w:t>Lecture+Assignments</w:t>
            </w:r>
          </w:p>
        </w:tc>
        <w:tc>
          <w:tcPr>
            <w:tcW w:w="2552" w:type="dxa"/>
            <w:gridSpan w:val="3"/>
          </w:tcPr>
          <w:p w:rsidR="006A3D46" w:rsidRPr="00E16EF5" w:rsidRDefault="006A3D46" w:rsidP="007E37E5">
            <w:pPr>
              <w:pStyle w:val="TableParagraph"/>
              <w:spacing w:line="237" w:lineRule="exact"/>
              <w:ind w:left="116"/>
              <w:rPr>
                <w:sz w:val="24"/>
                <w:szCs w:val="24"/>
              </w:rPr>
            </w:pPr>
            <w:r w:rsidRPr="00E16EF5">
              <w:rPr>
                <w:sz w:val="24"/>
                <w:szCs w:val="24"/>
              </w:rPr>
              <w:t>TotalContactPeriods</w:t>
            </w:r>
            <w:r w:rsidRPr="00E16EF5">
              <w:rPr>
                <w:spacing w:val="-10"/>
                <w:sz w:val="24"/>
                <w:szCs w:val="24"/>
              </w:rPr>
              <w:t>:</w:t>
            </w:r>
          </w:p>
        </w:tc>
        <w:tc>
          <w:tcPr>
            <w:tcW w:w="1921" w:type="dxa"/>
          </w:tcPr>
          <w:p w:rsidR="006A3D46" w:rsidRPr="00E16EF5" w:rsidRDefault="006A3D46" w:rsidP="007E37E5">
            <w:pPr>
              <w:pStyle w:val="TableParagraph"/>
              <w:spacing w:line="237" w:lineRule="exact"/>
              <w:ind w:left="116"/>
              <w:rPr>
                <w:b/>
                <w:sz w:val="24"/>
                <w:szCs w:val="24"/>
              </w:rPr>
            </w:pPr>
            <w:r w:rsidRPr="00E16EF5">
              <w:rPr>
                <w:b/>
                <w:sz w:val="24"/>
                <w:szCs w:val="24"/>
              </w:rPr>
              <w:t>75</w:t>
            </w:r>
            <w:r w:rsidRPr="00E16EF5">
              <w:rPr>
                <w:b/>
                <w:spacing w:val="-2"/>
                <w:sz w:val="24"/>
                <w:szCs w:val="24"/>
              </w:rPr>
              <w:t xml:space="preserve"> Periods</w:t>
            </w:r>
          </w:p>
        </w:tc>
      </w:tr>
      <w:tr w:rsidR="006A3D46" w:rsidRPr="00E16EF5" w:rsidTr="007E37E5">
        <w:trPr>
          <w:trHeight w:val="275"/>
        </w:trPr>
        <w:tc>
          <w:tcPr>
            <w:tcW w:w="2328" w:type="dxa"/>
            <w:tcBorders>
              <w:right w:val="nil"/>
            </w:tcBorders>
          </w:tcPr>
          <w:p w:rsidR="006A3D46" w:rsidRPr="00E16EF5" w:rsidRDefault="006A3D46" w:rsidP="007E37E5">
            <w:pPr>
              <w:pStyle w:val="TableParagraph"/>
              <w:spacing w:line="239" w:lineRule="exact"/>
              <w:ind w:left="114"/>
              <w:rPr>
                <w:sz w:val="24"/>
                <w:szCs w:val="24"/>
              </w:rPr>
            </w:pPr>
            <w:r w:rsidRPr="00E16EF5">
              <w:rPr>
                <w:spacing w:val="-5"/>
                <w:sz w:val="24"/>
                <w:szCs w:val="24"/>
              </w:rPr>
              <w:t>CIE</w:t>
            </w:r>
          </w:p>
        </w:tc>
        <w:tc>
          <w:tcPr>
            <w:tcW w:w="680" w:type="dxa"/>
            <w:tcBorders>
              <w:left w:val="nil"/>
            </w:tcBorders>
          </w:tcPr>
          <w:p w:rsidR="006A3D46" w:rsidRPr="00E16EF5" w:rsidRDefault="006A3D46" w:rsidP="007E37E5">
            <w:pPr>
              <w:pStyle w:val="TableParagraph"/>
              <w:spacing w:line="239" w:lineRule="exact"/>
              <w:ind w:right="14"/>
              <w:jc w:val="center"/>
              <w:rPr>
                <w:sz w:val="24"/>
                <w:szCs w:val="24"/>
              </w:rPr>
            </w:pPr>
            <w:r w:rsidRPr="00E16EF5">
              <w:rPr>
                <w:spacing w:val="-10"/>
                <w:sz w:val="24"/>
                <w:szCs w:val="24"/>
              </w:rPr>
              <w:t>:</w:t>
            </w:r>
          </w:p>
        </w:tc>
        <w:tc>
          <w:tcPr>
            <w:tcW w:w="2551" w:type="dxa"/>
          </w:tcPr>
          <w:p w:rsidR="006A3D46" w:rsidRPr="00E16EF5" w:rsidRDefault="006A3D46" w:rsidP="007E37E5">
            <w:pPr>
              <w:pStyle w:val="TableParagraph"/>
              <w:spacing w:line="239" w:lineRule="exact"/>
              <w:ind w:left="116"/>
              <w:rPr>
                <w:b/>
                <w:sz w:val="24"/>
                <w:szCs w:val="24"/>
              </w:rPr>
            </w:pPr>
            <w:r w:rsidRPr="00E16EF5">
              <w:rPr>
                <w:b/>
                <w:sz w:val="24"/>
                <w:szCs w:val="24"/>
              </w:rPr>
              <w:t xml:space="preserve">60 </w:t>
            </w:r>
            <w:r w:rsidRPr="00E16EF5">
              <w:rPr>
                <w:b/>
                <w:spacing w:val="-2"/>
                <w:sz w:val="24"/>
                <w:szCs w:val="24"/>
              </w:rPr>
              <w:t>Marks</w:t>
            </w:r>
          </w:p>
        </w:tc>
        <w:tc>
          <w:tcPr>
            <w:tcW w:w="1155" w:type="dxa"/>
            <w:tcBorders>
              <w:right w:val="nil"/>
            </w:tcBorders>
          </w:tcPr>
          <w:p w:rsidR="006A3D46" w:rsidRPr="00E16EF5" w:rsidRDefault="006A3D46" w:rsidP="007E37E5">
            <w:pPr>
              <w:pStyle w:val="TableParagraph"/>
              <w:spacing w:line="239" w:lineRule="exact"/>
              <w:ind w:left="116"/>
              <w:rPr>
                <w:sz w:val="24"/>
                <w:szCs w:val="24"/>
              </w:rPr>
            </w:pPr>
            <w:r w:rsidRPr="00E16EF5">
              <w:rPr>
                <w:spacing w:val="-5"/>
                <w:sz w:val="24"/>
                <w:szCs w:val="24"/>
              </w:rPr>
              <w:t>SEE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:rsidR="006A3D46" w:rsidRPr="00E16EF5" w:rsidRDefault="006A3D46" w:rsidP="007E37E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1" w:type="dxa"/>
            <w:tcBorders>
              <w:left w:val="nil"/>
            </w:tcBorders>
          </w:tcPr>
          <w:p w:rsidR="006A3D46" w:rsidRPr="00E16EF5" w:rsidRDefault="006A3D46" w:rsidP="007E37E5">
            <w:pPr>
              <w:pStyle w:val="TableParagraph"/>
              <w:spacing w:line="239" w:lineRule="exact"/>
              <w:ind w:left="140" w:right="175"/>
              <w:jc w:val="center"/>
              <w:rPr>
                <w:sz w:val="24"/>
                <w:szCs w:val="24"/>
              </w:rPr>
            </w:pPr>
            <w:r w:rsidRPr="00E16EF5">
              <w:rPr>
                <w:spacing w:val="-10"/>
                <w:sz w:val="24"/>
                <w:szCs w:val="24"/>
              </w:rPr>
              <w:t>:</w:t>
            </w:r>
          </w:p>
        </w:tc>
        <w:tc>
          <w:tcPr>
            <w:tcW w:w="1921" w:type="dxa"/>
          </w:tcPr>
          <w:p w:rsidR="006A3D46" w:rsidRPr="00E16EF5" w:rsidRDefault="006A3D46" w:rsidP="007E37E5">
            <w:pPr>
              <w:pStyle w:val="TableParagraph"/>
              <w:spacing w:line="239" w:lineRule="exact"/>
              <w:ind w:left="116"/>
              <w:rPr>
                <w:b/>
                <w:sz w:val="24"/>
                <w:szCs w:val="24"/>
              </w:rPr>
            </w:pPr>
            <w:r w:rsidRPr="00E16EF5">
              <w:rPr>
                <w:b/>
                <w:sz w:val="24"/>
                <w:szCs w:val="24"/>
              </w:rPr>
              <w:t xml:space="preserve">40 </w:t>
            </w:r>
            <w:r w:rsidRPr="00E16EF5">
              <w:rPr>
                <w:b/>
                <w:spacing w:val="-2"/>
                <w:sz w:val="24"/>
                <w:szCs w:val="24"/>
              </w:rPr>
              <w:t>Marks</w:t>
            </w:r>
          </w:p>
        </w:tc>
      </w:tr>
    </w:tbl>
    <w:p w:rsidR="00862F20" w:rsidRDefault="00862F20" w:rsidP="00FC3028">
      <w:pPr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tbl>
      <w:tblPr>
        <w:tblW w:w="8642" w:type="dxa"/>
        <w:tblLook w:val="04A0"/>
      </w:tblPr>
      <w:tblGrid>
        <w:gridCol w:w="960"/>
        <w:gridCol w:w="7682"/>
      </w:tblGrid>
      <w:tr w:rsidR="00862F20" w:rsidRPr="0000319C" w:rsidTr="00862F20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00319C" w:rsidRDefault="00862F20" w:rsidP="00101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</w:rPr>
            </w:pPr>
            <w:r w:rsidRPr="000031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</w:rPr>
              <w:t>CO Code</w:t>
            </w:r>
          </w:p>
        </w:tc>
        <w:tc>
          <w:tcPr>
            <w:tcW w:w="7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00319C" w:rsidRDefault="00862F20" w:rsidP="00101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</w:rPr>
            </w:pPr>
            <w:r w:rsidRPr="000031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</w:rPr>
              <w:t>Course Outcome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</w:rPr>
              <w:t>s</w:t>
            </w:r>
          </w:p>
        </w:tc>
      </w:tr>
      <w:tr w:rsidR="00862F20" w:rsidRPr="0000319C" w:rsidTr="00862F20">
        <w:trPr>
          <w:trHeight w:val="81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00319C" w:rsidRDefault="00862F20" w:rsidP="00101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</w:rPr>
            </w:pPr>
            <w:r w:rsidRPr="0000319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</w:rPr>
              <w:t>CO1</w:t>
            </w:r>
          </w:p>
        </w:tc>
        <w:tc>
          <w:tcPr>
            <w:tcW w:w="7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D91E9D" w:rsidRDefault="00862F20" w:rsidP="00101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</w:rPr>
            </w:pPr>
            <w:r w:rsidRPr="00D91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Explain the need, advantages, limitations, and applications of prestressed, precast, and pre-engineered building systems.</w:t>
            </w:r>
          </w:p>
        </w:tc>
      </w:tr>
      <w:tr w:rsidR="00862F20" w:rsidRPr="0000319C" w:rsidTr="00862F20">
        <w:trPr>
          <w:trHeight w:val="6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00319C" w:rsidRDefault="00862F20" w:rsidP="00101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</w:rPr>
            </w:pPr>
            <w:r w:rsidRPr="0000319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</w:rPr>
              <w:t>CO2</w:t>
            </w:r>
          </w:p>
        </w:tc>
        <w:tc>
          <w:tcPr>
            <w:tcW w:w="7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D91E9D" w:rsidRDefault="00862F20" w:rsidP="00101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</w:rPr>
            </w:pPr>
            <w:r w:rsidRPr="00D91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Describe the concept of prestressing, materials used, anchorage systems, and losses in prestress.</w:t>
            </w:r>
          </w:p>
        </w:tc>
      </w:tr>
      <w:tr w:rsidR="00862F20" w:rsidRPr="0000319C" w:rsidTr="00862F20">
        <w:trPr>
          <w:trHeight w:val="77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00319C" w:rsidRDefault="00862F20" w:rsidP="00101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</w:rPr>
            </w:pPr>
            <w:r w:rsidRPr="0000319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</w:rPr>
              <w:t>CO3</w:t>
            </w:r>
          </w:p>
        </w:tc>
        <w:tc>
          <w:tcPr>
            <w:tcW w:w="7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D91E9D" w:rsidRDefault="00862F20" w:rsidP="00101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</w:rPr>
            </w:pPr>
            <w:r w:rsidRPr="00D91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Differentiate between RCC and prestressed concrete members and explain methods of prestressing and their applications.</w:t>
            </w:r>
          </w:p>
        </w:tc>
      </w:tr>
      <w:tr w:rsidR="00862F20" w:rsidRPr="0000319C" w:rsidTr="00862F20">
        <w:trPr>
          <w:trHeight w:val="73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00319C" w:rsidRDefault="00862F20" w:rsidP="00101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</w:rPr>
            </w:pPr>
            <w:r w:rsidRPr="0000319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</w:rPr>
              <w:t>CO4</w:t>
            </w:r>
          </w:p>
        </w:tc>
        <w:tc>
          <w:tcPr>
            <w:tcW w:w="7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D91E9D" w:rsidRDefault="00862F20" w:rsidP="00101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</w:rPr>
            </w:pPr>
            <w:r w:rsidRPr="00D91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Identify precast concrete elements and explain production, transportation, erection, and connection methods.</w:t>
            </w:r>
          </w:p>
        </w:tc>
      </w:tr>
      <w:tr w:rsidR="00862F20" w:rsidRPr="0000319C" w:rsidTr="00862F20">
        <w:trPr>
          <w:trHeight w:val="5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00319C" w:rsidRDefault="00862F20" w:rsidP="00101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</w:rPr>
            </w:pPr>
            <w:r w:rsidRPr="0000319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</w:rPr>
              <w:t>CO5</w:t>
            </w:r>
          </w:p>
        </w:tc>
        <w:tc>
          <w:tcPr>
            <w:tcW w:w="7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D91E9D" w:rsidRDefault="00862F20" w:rsidP="00101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</w:rPr>
            </w:pPr>
            <w:r w:rsidRPr="00D91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Explain the components, framing systems, and applications of pre-engineered buildings.</w:t>
            </w:r>
          </w:p>
        </w:tc>
      </w:tr>
      <w:tr w:rsidR="00862F20" w:rsidRPr="0000319C" w:rsidTr="00862F20">
        <w:trPr>
          <w:trHeight w:val="69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00319C" w:rsidRDefault="00862F20" w:rsidP="00101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</w:rPr>
            </w:pPr>
            <w:r w:rsidRPr="0000319C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</w:rPr>
              <w:t>CO6</w:t>
            </w:r>
          </w:p>
        </w:tc>
        <w:tc>
          <w:tcPr>
            <w:tcW w:w="7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D91E9D" w:rsidRDefault="00862F20" w:rsidP="00101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</w:rPr>
            </w:pPr>
            <w:r w:rsidRPr="00D91E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Apply basic construction practices, quality control measures, and safety precautions in prestressed, precast, and PEB structures.</w:t>
            </w:r>
          </w:p>
        </w:tc>
      </w:tr>
    </w:tbl>
    <w:p w:rsidR="00862F20" w:rsidRPr="0000319C" w:rsidRDefault="00862F20" w:rsidP="00FC3028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FC3028" w:rsidRPr="0000319C" w:rsidRDefault="00FC3028" w:rsidP="00FC302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0319C">
        <w:rPr>
          <w:rFonts w:ascii="Times New Roman" w:hAnsi="Times New Roman" w:cs="Times New Roman"/>
          <w:b/>
          <w:bCs/>
          <w:sz w:val="28"/>
          <w:szCs w:val="28"/>
        </w:rPr>
        <w:t>UNIT I – Introduction to Modern Structural Systems</w:t>
      </w:r>
    </w:p>
    <w:p w:rsidR="00FC3028" w:rsidRPr="0000319C" w:rsidRDefault="00FC3028" w:rsidP="00FC3028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0319C">
        <w:rPr>
          <w:rFonts w:ascii="Times New Roman" w:hAnsi="Times New Roman" w:cs="Times New Roman"/>
          <w:sz w:val="24"/>
          <w:szCs w:val="24"/>
        </w:rPr>
        <w:t>Need for modern construction techniques</w:t>
      </w:r>
    </w:p>
    <w:p w:rsidR="00FC3028" w:rsidRPr="0000319C" w:rsidRDefault="00FC3028" w:rsidP="00FC3028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0319C">
        <w:rPr>
          <w:rFonts w:ascii="Times New Roman" w:hAnsi="Times New Roman" w:cs="Times New Roman"/>
          <w:sz w:val="24"/>
          <w:szCs w:val="24"/>
        </w:rPr>
        <w:t>Limitations of conventional RCC construction</w:t>
      </w:r>
    </w:p>
    <w:p w:rsidR="00FC3028" w:rsidRPr="0000319C" w:rsidRDefault="00FC3028" w:rsidP="00FC3028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0319C">
        <w:rPr>
          <w:rFonts w:ascii="Times New Roman" w:hAnsi="Times New Roman" w:cs="Times New Roman"/>
          <w:sz w:val="24"/>
          <w:szCs w:val="24"/>
        </w:rPr>
        <w:t>Introduction to prestressed, precast and pre-engineered buildings (PEB)</w:t>
      </w:r>
    </w:p>
    <w:p w:rsidR="00FC3028" w:rsidRPr="0000319C" w:rsidRDefault="00FC3028" w:rsidP="00FC3028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0319C">
        <w:rPr>
          <w:rFonts w:ascii="Times New Roman" w:hAnsi="Times New Roman" w:cs="Times New Roman"/>
          <w:sz w:val="24"/>
          <w:szCs w:val="24"/>
        </w:rPr>
        <w:t>Advantages and limitations of prestressed, precast and PEB systems</w:t>
      </w:r>
    </w:p>
    <w:p w:rsidR="00FC3028" w:rsidRPr="0000319C" w:rsidRDefault="00FC3028" w:rsidP="00FC3028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0319C">
        <w:rPr>
          <w:rFonts w:ascii="Times New Roman" w:hAnsi="Times New Roman" w:cs="Times New Roman"/>
          <w:sz w:val="24"/>
          <w:szCs w:val="24"/>
        </w:rPr>
        <w:t>Applications in buildings, bridges and industrial structures</w:t>
      </w:r>
    </w:p>
    <w:p w:rsidR="00FC3028" w:rsidRPr="0000319C" w:rsidRDefault="00FC3028" w:rsidP="00FC3028">
      <w:pPr>
        <w:rPr>
          <w:rFonts w:ascii="Times New Roman" w:hAnsi="Times New Roman" w:cs="Times New Roman"/>
          <w:sz w:val="24"/>
          <w:szCs w:val="24"/>
        </w:rPr>
      </w:pPr>
    </w:p>
    <w:p w:rsidR="00FC3028" w:rsidRPr="0000319C" w:rsidRDefault="00FC3028" w:rsidP="00FC302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0319C">
        <w:rPr>
          <w:rFonts w:ascii="Times New Roman" w:hAnsi="Times New Roman" w:cs="Times New Roman"/>
          <w:b/>
          <w:bCs/>
          <w:sz w:val="28"/>
          <w:szCs w:val="28"/>
        </w:rPr>
        <w:t>UNIT II – Materials and Components in Prestressed Concrete</w:t>
      </w:r>
    </w:p>
    <w:p w:rsidR="00FC3028" w:rsidRPr="0000319C" w:rsidRDefault="00FC3028" w:rsidP="00FC3028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0319C">
        <w:rPr>
          <w:rFonts w:ascii="Times New Roman" w:hAnsi="Times New Roman" w:cs="Times New Roman"/>
          <w:sz w:val="24"/>
          <w:szCs w:val="24"/>
        </w:rPr>
        <w:t>Concept of prestressing</w:t>
      </w:r>
    </w:p>
    <w:p w:rsidR="00FC3028" w:rsidRPr="0000319C" w:rsidRDefault="00FC3028" w:rsidP="00FC3028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0319C">
        <w:rPr>
          <w:rFonts w:ascii="Times New Roman" w:hAnsi="Times New Roman" w:cs="Times New Roman"/>
          <w:sz w:val="24"/>
          <w:szCs w:val="24"/>
        </w:rPr>
        <w:t>Types of prestressing: pre-tensioning and post-tensioning</w:t>
      </w:r>
    </w:p>
    <w:p w:rsidR="00FC3028" w:rsidRPr="0000319C" w:rsidRDefault="00FC3028" w:rsidP="00FC3028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0319C">
        <w:rPr>
          <w:rFonts w:ascii="Times New Roman" w:hAnsi="Times New Roman" w:cs="Times New Roman"/>
          <w:sz w:val="24"/>
          <w:szCs w:val="24"/>
        </w:rPr>
        <w:lastRenderedPageBreak/>
        <w:t>Materials used in prestressing:</w:t>
      </w:r>
    </w:p>
    <w:p w:rsidR="00FC3028" w:rsidRPr="0000319C" w:rsidRDefault="00FC3028" w:rsidP="00FC3028">
      <w:pPr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0319C">
        <w:rPr>
          <w:rFonts w:ascii="Times New Roman" w:hAnsi="Times New Roman" w:cs="Times New Roman"/>
          <w:sz w:val="24"/>
          <w:szCs w:val="24"/>
        </w:rPr>
        <w:t>High-strength concrete</w:t>
      </w:r>
    </w:p>
    <w:p w:rsidR="00FC3028" w:rsidRPr="0000319C" w:rsidRDefault="00FC3028" w:rsidP="00FC3028">
      <w:pPr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0319C">
        <w:rPr>
          <w:rFonts w:ascii="Times New Roman" w:hAnsi="Times New Roman" w:cs="Times New Roman"/>
          <w:sz w:val="24"/>
          <w:szCs w:val="24"/>
        </w:rPr>
        <w:t>Prestressing steel (wires, strands, cables)</w:t>
      </w:r>
    </w:p>
    <w:p w:rsidR="00FC3028" w:rsidRPr="0000319C" w:rsidRDefault="00FC3028" w:rsidP="00FC3028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0319C">
        <w:rPr>
          <w:rFonts w:ascii="Times New Roman" w:hAnsi="Times New Roman" w:cs="Times New Roman"/>
          <w:sz w:val="24"/>
          <w:szCs w:val="24"/>
        </w:rPr>
        <w:t>Anchorage systems (basic idea)</w:t>
      </w:r>
    </w:p>
    <w:p w:rsidR="00FC3028" w:rsidRPr="0000319C" w:rsidRDefault="00FC3028" w:rsidP="00FC3028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0319C">
        <w:rPr>
          <w:rFonts w:ascii="Times New Roman" w:hAnsi="Times New Roman" w:cs="Times New Roman"/>
          <w:sz w:val="24"/>
          <w:szCs w:val="24"/>
        </w:rPr>
        <w:t>Losses in prestress (concept only)</w:t>
      </w:r>
    </w:p>
    <w:p w:rsidR="00FC3028" w:rsidRPr="0000319C" w:rsidRDefault="00FC3028" w:rsidP="00FC3028">
      <w:pPr>
        <w:rPr>
          <w:rFonts w:ascii="Times New Roman" w:hAnsi="Times New Roman" w:cs="Times New Roman"/>
          <w:sz w:val="24"/>
          <w:szCs w:val="24"/>
        </w:rPr>
      </w:pPr>
    </w:p>
    <w:p w:rsidR="00FC3028" w:rsidRPr="0000319C" w:rsidRDefault="00FC3028" w:rsidP="00FC302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0319C">
        <w:rPr>
          <w:rFonts w:ascii="Times New Roman" w:hAnsi="Times New Roman" w:cs="Times New Roman"/>
          <w:b/>
          <w:bCs/>
          <w:sz w:val="28"/>
          <w:szCs w:val="28"/>
        </w:rPr>
        <w:t>UNIT III – Prestressed Concrete Members and Construction Methods</w:t>
      </w:r>
    </w:p>
    <w:p w:rsidR="00FC3028" w:rsidRPr="0000319C" w:rsidRDefault="00FC3028" w:rsidP="00FC3028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0319C">
        <w:rPr>
          <w:rFonts w:ascii="Times New Roman" w:hAnsi="Times New Roman" w:cs="Times New Roman"/>
          <w:sz w:val="24"/>
          <w:szCs w:val="24"/>
        </w:rPr>
        <w:t>Prestressed concrete beams, slabs and girders</w:t>
      </w:r>
    </w:p>
    <w:p w:rsidR="00FC3028" w:rsidRPr="0000319C" w:rsidRDefault="00FC3028" w:rsidP="00FC3028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0319C">
        <w:rPr>
          <w:rFonts w:ascii="Times New Roman" w:hAnsi="Times New Roman" w:cs="Times New Roman"/>
          <w:sz w:val="24"/>
          <w:szCs w:val="24"/>
        </w:rPr>
        <w:t>Methods of prestressing:</w:t>
      </w:r>
    </w:p>
    <w:p w:rsidR="00FC3028" w:rsidRPr="0000319C" w:rsidRDefault="00FC3028" w:rsidP="00FC3028">
      <w:pPr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0319C">
        <w:rPr>
          <w:rFonts w:ascii="Times New Roman" w:hAnsi="Times New Roman" w:cs="Times New Roman"/>
          <w:sz w:val="24"/>
          <w:szCs w:val="24"/>
        </w:rPr>
        <w:t>Pre-tensioning method</w:t>
      </w:r>
    </w:p>
    <w:p w:rsidR="00FC3028" w:rsidRPr="0000319C" w:rsidRDefault="00FC3028" w:rsidP="00FC3028">
      <w:pPr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0319C">
        <w:rPr>
          <w:rFonts w:ascii="Times New Roman" w:hAnsi="Times New Roman" w:cs="Times New Roman"/>
          <w:sz w:val="24"/>
          <w:szCs w:val="24"/>
        </w:rPr>
        <w:t>Post-tensioning method</w:t>
      </w:r>
    </w:p>
    <w:p w:rsidR="00FC3028" w:rsidRPr="0000319C" w:rsidRDefault="00FC3028" w:rsidP="00FC3028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0319C">
        <w:rPr>
          <w:rFonts w:ascii="Times New Roman" w:hAnsi="Times New Roman" w:cs="Times New Roman"/>
          <w:sz w:val="24"/>
          <w:szCs w:val="24"/>
        </w:rPr>
        <w:t>Basic comparison between RCC and PSC members</w:t>
      </w:r>
    </w:p>
    <w:p w:rsidR="00FC3028" w:rsidRPr="0000319C" w:rsidRDefault="00FC3028" w:rsidP="00FC3028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0319C">
        <w:rPr>
          <w:rFonts w:ascii="Times New Roman" w:hAnsi="Times New Roman" w:cs="Times New Roman"/>
          <w:sz w:val="24"/>
          <w:szCs w:val="24"/>
        </w:rPr>
        <w:t>Applications of prestressed concrete in buildings and bridges</w:t>
      </w:r>
    </w:p>
    <w:p w:rsidR="00FC3028" w:rsidRPr="0000319C" w:rsidRDefault="00FC3028" w:rsidP="00FC3028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0319C">
        <w:rPr>
          <w:rFonts w:ascii="Times New Roman" w:hAnsi="Times New Roman" w:cs="Times New Roman"/>
          <w:sz w:val="24"/>
          <w:szCs w:val="24"/>
        </w:rPr>
        <w:t>Introduction to precast prestressed elements</w:t>
      </w:r>
    </w:p>
    <w:p w:rsidR="00FC3028" w:rsidRPr="0000319C" w:rsidRDefault="00FC3028" w:rsidP="00FC3028">
      <w:pPr>
        <w:rPr>
          <w:rFonts w:ascii="Times New Roman" w:hAnsi="Times New Roman" w:cs="Times New Roman"/>
          <w:sz w:val="24"/>
          <w:szCs w:val="24"/>
        </w:rPr>
      </w:pPr>
    </w:p>
    <w:p w:rsidR="00FC3028" w:rsidRPr="0000319C" w:rsidRDefault="00FC3028" w:rsidP="00FC302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0319C">
        <w:rPr>
          <w:rFonts w:ascii="Times New Roman" w:hAnsi="Times New Roman" w:cs="Times New Roman"/>
          <w:b/>
          <w:bCs/>
          <w:sz w:val="28"/>
          <w:szCs w:val="28"/>
        </w:rPr>
        <w:t>UNIT IV – Precast Concrete Structures</w:t>
      </w:r>
    </w:p>
    <w:p w:rsidR="00FC3028" w:rsidRPr="0000319C" w:rsidRDefault="00FC3028" w:rsidP="00FC3028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0319C">
        <w:rPr>
          <w:rFonts w:ascii="Times New Roman" w:hAnsi="Times New Roman" w:cs="Times New Roman"/>
          <w:sz w:val="24"/>
          <w:szCs w:val="24"/>
        </w:rPr>
        <w:t>Concept and advantages of precast construction</w:t>
      </w:r>
    </w:p>
    <w:p w:rsidR="00FC3028" w:rsidRPr="0000319C" w:rsidRDefault="00FC3028" w:rsidP="00FC3028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0319C">
        <w:rPr>
          <w:rFonts w:ascii="Times New Roman" w:hAnsi="Times New Roman" w:cs="Times New Roman"/>
          <w:sz w:val="24"/>
          <w:szCs w:val="24"/>
        </w:rPr>
        <w:t>Types of precast elements:</w:t>
      </w:r>
    </w:p>
    <w:p w:rsidR="00FC3028" w:rsidRPr="0000319C" w:rsidRDefault="00FC3028" w:rsidP="00FC3028">
      <w:pPr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0319C">
        <w:rPr>
          <w:rFonts w:ascii="Times New Roman" w:hAnsi="Times New Roman" w:cs="Times New Roman"/>
          <w:sz w:val="24"/>
          <w:szCs w:val="24"/>
        </w:rPr>
        <w:t>Beams, columns, slabs, wall panels</w:t>
      </w:r>
    </w:p>
    <w:p w:rsidR="00FC3028" w:rsidRPr="0000319C" w:rsidRDefault="00FC3028" w:rsidP="00FC3028">
      <w:pPr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0319C">
        <w:rPr>
          <w:rFonts w:ascii="Times New Roman" w:hAnsi="Times New Roman" w:cs="Times New Roman"/>
          <w:sz w:val="24"/>
          <w:szCs w:val="24"/>
        </w:rPr>
        <w:t>Staircases and boundary walls</w:t>
      </w:r>
    </w:p>
    <w:p w:rsidR="00FC3028" w:rsidRPr="0000319C" w:rsidRDefault="00FC3028" w:rsidP="00FC3028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0319C">
        <w:rPr>
          <w:rFonts w:ascii="Times New Roman" w:hAnsi="Times New Roman" w:cs="Times New Roman"/>
          <w:sz w:val="24"/>
          <w:szCs w:val="24"/>
        </w:rPr>
        <w:t>Precast production methods</w:t>
      </w:r>
    </w:p>
    <w:p w:rsidR="00FC3028" w:rsidRPr="0000319C" w:rsidRDefault="00FC3028" w:rsidP="00FC3028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0319C">
        <w:rPr>
          <w:rFonts w:ascii="Times New Roman" w:hAnsi="Times New Roman" w:cs="Times New Roman"/>
          <w:sz w:val="24"/>
          <w:szCs w:val="24"/>
        </w:rPr>
        <w:t>Transportation, handling and erection of precast elements</w:t>
      </w:r>
    </w:p>
    <w:p w:rsidR="00FC3028" w:rsidRPr="0000319C" w:rsidRDefault="00FC3028" w:rsidP="00FC3028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0319C">
        <w:rPr>
          <w:rFonts w:ascii="Times New Roman" w:hAnsi="Times New Roman" w:cs="Times New Roman"/>
          <w:sz w:val="24"/>
          <w:szCs w:val="24"/>
        </w:rPr>
        <w:t>Connections in precast structures (basic concepts)</w:t>
      </w:r>
    </w:p>
    <w:p w:rsidR="00FC3028" w:rsidRPr="0000319C" w:rsidRDefault="00FC3028" w:rsidP="00FC3028">
      <w:pPr>
        <w:rPr>
          <w:rFonts w:ascii="Times New Roman" w:hAnsi="Times New Roman" w:cs="Times New Roman"/>
          <w:sz w:val="24"/>
          <w:szCs w:val="24"/>
        </w:rPr>
      </w:pPr>
    </w:p>
    <w:p w:rsidR="00FC3028" w:rsidRPr="0000319C" w:rsidRDefault="00FC3028" w:rsidP="00FC302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0319C">
        <w:rPr>
          <w:rFonts w:ascii="Times New Roman" w:hAnsi="Times New Roman" w:cs="Times New Roman"/>
          <w:b/>
          <w:bCs/>
          <w:sz w:val="28"/>
          <w:szCs w:val="28"/>
        </w:rPr>
        <w:t>UNIT V – Pre-Engineered Buildings (PEB)</w:t>
      </w:r>
    </w:p>
    <w:p w:rsidR="00FC3028" w:rsidRPr="0000319C" w:rsidRDefault="00FC3028" w:rsidP="00FC3028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0319C">
        <w:rPr>
          <w:rFonts w:ascii="Times New Roman" w:hAnsi="Times New Roman" w:cs="Times New Roman"/>
          <w:sz w:val="24"/>
          <w:szCs w:val="24"/>
        </w:rPr>
        <w:t>Concept and components of PEB systems</w:t>
      </w:r>
    </w:p>
    <w:p w:rsidR="00FC3028" w:rsidRPr="0000319C" w:rsidRDefault="00FC3028" w:rsidP="00FC3028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0319C">
        <w:rPr>
          <w:rFonts w:ascii="Times New Roman" w:hAnsi="Times New Roman" w:cs="Times New Roman"/>
          <w:sz w:val="24"/>
          <w:szCs w:val="24"/>
        </w:rPr>
        <w:t>Primary and secondary framing systems</w:t>
      </w:r>
    </w:p>
    <w:p w:rsidR="00FC3028" w:rsidRPr="0000319C" w:rsidRDefault="00FC3028" w:rsidP="00FC3028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0319C">
        <w:rPr>
          <w:rFonts w:ascii="Times New Roman" w:hAnsi="Times New Roman" w:cs="Times New Roman"/>
          <w:sz w:val="24"/>
          <w:szCs w:val="24"/>
        </w:rPr>
        <w:t>Roofing and wall cladding systems</w:t>
      </w:r>
    </w:p>
    <w:p w:rsidR="00FC3028" w:rsidRPr="0000319C" w:rsidRDefault="00FC3028" w:rsidP="00FC3028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0319C">
        <w:rPr>
          <w:rFonts w:ascii="Times New Roman" w:hAnsi="Times New Roman" w:cs="Times New Roman"/>
          <w:sz w:val="24"/>
          <w:szCs w:val="24"/>
        </w:rPr>
        <w:t>PEB foundations (basic idea)</w:t>
      </w:r>
    </w:p>
    <w:p w:rsidR="00FC3028" w:rsidRPr="0000319C" w:rsidRDefault="00FC3028" w:rsidP="00FC3028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0319C">
        <w:rPr>
          <w:rFonts w:ascii="Times New Roman" w:hAnsi="Times New Roman" w:cs="Times New Roman"/>
          <w:sz w:val="24"/>
          <w:szCs w:val="24"/>
        </w:rPr>
        <w:t>Advantages of PEB over conventional steel structures</w:t>
      </w:r>
    </w:p>
    <w:p w:rsidR="00FC3028" w:rsidRPr="0000319C" w:rsidRDefault="00FC3028" w:rsidP="00FC3028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0319C">
        <w:rPr>
          <w:rFonts w:ascii="Times New Roman" w:hAnsi="Times New Roman" w:cs="Times New Roman"/>
          <w:sz w:val="24"/>
          <w:szCs w:val="24"/>
        </w:rPr>
        <w:lastRenderedPageBreak/>
        <w:t>Applications of PEB in industrial and commercial buildings</w:t>
      </w:r>
    </w:p>
    <w:p w:rsidR="00FC3028" w:rsidRPr="0000319C" w:rsidRDefault="00FC3028" w:rsidP="00FC3028">
      <w:pPr>
        <w:rPr>
          <w:rFonts w:ascii="Times New Roman" w:hAnsi="Times New Roman" w:cs="Times New Roman"/>
          <w:sz w:val="24"/>
          <w:szCs w:val="24"/>
        </w:rPr>
      </w:pPr>
    </w:p>
    <w:p w:rsidR="00FC3028" w:rsidRPr="0000319C" w:rsidRDefault="00FC3028" w:rsidP="00FC302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0319C">
        <w:rPr>
          <w:rFonts w:ascii="Times New Roman" w:hAnsi="Times New Roman" w:cs="Times New Roman"/>
          <w:b/>
          <w:bCs/>
          <w:sz w:val="28"/>
          <w:szCs w:val="28"/>
        </w:rPr>
        <w:t>UNIT VI – Construction Practices, Quality Control and Safety</w:t>
      </w:r>
    </w:p>
    <w:p w:rsidR="00FC3028" w:rsidRPr="0000319C" w:rsidRDefault="00FC3028" w:rsidP="00FC3028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0319C">
        <w:rPr>
          <w:rFonts w:ascii="Times New Roman" w:hAnsi="Times New Roman" w:cs="Times New Roman"/>
          <w:sz w:val="24"/>
          <w:szCs w:val="24"/>
        </w:rPr>
        <w:t>Erection techniques for prestressed, precast and PEB structures</w:t>
      </w:r>
    </w:p>
    <w:p w:rsidR="00FC3028" w:rsidRPr="0000319C" w:rsidRDefault="00FC3028" w:rsidP="00FC3028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0319C">
        <w:rPr>
          <w:rFonts w:ascii="Times New Roman" w:hAnsi="Times New Roman" w:cs="Times New Roman"/>
          <w:sz w:val="24"/>
          <w:szCs w:val="24"/>
        </w:rPr>
        <w:t>Quality control in prestressed and precast construction</w:t>
      </w:r>
    </w:p>
    <w:p w:rsidR="00FC3028" w:rsidRPr="0000319C" w:rsidRDefault="00FC3028" w:rsidP="00FC3028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0319C">
        <w:rPr>
          <w:rFonts w:ascii="Times New Roman" w:hAnsi="Times New Roman" w:cs="Times New Roman"/>
          <w:sz w:val="24"/>
          <w:szCs w:val="24"/>
        </w:rPr>
        <w:t>Common defects and remedial measures</w:t>
      </w:r>
    </w:p>
    <w:p w:rsidR="00FC3028" w:rsidRPr="0000319C" w:rsidRDefault="00FC3028" w:rsidP="00FC3028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0319C">
        <w:rPr>
          <w:rFonts w:ascii="Times New Roman" w:hAnsi="Times New Roman" w:cs="Times New Roman"/>
          <w:sz w:val="24"/>
          <w:szCs w:val="24"/>
        </w:rPr>
        <w:t>Safety precautions during fabrication, lifting and erection</w:t>
      </w:r>
    </w:p>
    <w:p w:rsidR="00FC3028" w:rsidRPr="0000319C" w:rsidRDefault="00FC3028" w:rsidP="00FC3028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0319C">
        <w:rPr>
          <w:rFonts w:ascii="Times New Roman" w:hAnsi="Times New Roman" w:cs="Times New Roman"/>
          <w:sz w:val="24"/>
          <w:szCs w:val="24"/>
        </w:rPr>
        <w:t>Case studies of prestressed, precast and PEB projects</w:t>
      </w:r>
    </w:p>
    <w:p w:rsidR="00FC3028" w:rsidRPr="0000319C" w:rsidRDefault="00FC3028" w:rsidP="00FC3028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0319C">
        <w:rPr>
          <w:rFonts w:ascii="Times New Roman" w:hAnsi="Times New Roman" w:cs="Times New Roman"/>
          <w:sz w:val="24"/>
          <w:szCs w:val="24"/>
        </w:rPr>
        <w:t>Future trends in modern construction techniques</w:t>
      </w:r>
    </w:p>
    <w:p w:rsidR="00FC3028" w:rsidRPr="0000319C" w:rsidRDefault="00780994" w:rsidP="00FC3028">
      <w:pPr>
        <w:rPr>
          <w:rFonts w:ascii="Times New Roman" w:hAnsi="Times New Roman" w:cs="Times New Roman"/>
          <w:sz w:val="24"/>
          <w:szCs w:val="24"/>
        </w:rPr>
      </w:pPr>
      <w:r w:rsidRPr="00780994">
        <w:rPr>
          <w:rFonts w:ascii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FC3028" w:rsidRPr="0000319C" w:rsidRDefault="00FC3028" w:rsidP="00FC302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0319C">
        <w:rPr>
          <w:rFonts w:ascii="Times New Roman" w:hAnsi="Times New Roman" w:cs="Times New Roman"/>
          <w:b/>
          <w:bCs/>
          <w:sz w:val="28"/>
          <w:szCs w:val="28"/>
        </w:rPr>
        <w:t>Practical / Field Exposure (Recommended)</w:t>
      </w:r>
    </w:p>
    <w:p w:rsidR="00FC3028" w:rsidRPr="0000319C" w:rsidRDefault="00FC3028" w:rsidP="00FC3028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0319C">
        <w:rPr>
          <w:rFonts w:ascii="Times New Roman" w:hAnsi="Times New Roman" w:cs="Times New Roman"/>
          <w:sz w:val="24"/>
          <w:szCs w:val="24"/>
        </w:rPr>
        <w:t>Site visit to precast yard or PEB construction site</w:t>
      </w:r>
    </w:p>
    <w:p w:rsidR="00FC3028" w:rsidRPr="0000319C" w:rsidRDefault="00FC3028" w:rsidP="00FC3028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0319C">
        <w:rPr>
          <w:rFonts w:ascii="Times New Roman" w:hAnsi="Times New Roman" w:cs="Times New Roman"/>
          <w:sz w:val="24"/>
          <w:szCs w:val="24"/>
        </w:rPr>
        <w:t>Identification of prestressing and anchorage components</w:t>
      </w:r>
    </w:p>
    <w:p w:rsidR="00FC3028" w:rsidRPr="0000319C" w:rsidRDefault="00FC3028" w:rsidP="00FC3028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0319C">
        <w:rPr>
          <w:rFonts w:ascii="Times New Roman" w:hAnsi="Times New Roman" w:cs="Times New Roman"/>
          <w:sz w:val="24"/>
          <w:szCs w:val="24"/>
        </w:rPr>
        <w:t>Study of precast elements and PEB components</w:t>
      </w:r>
    </w:p>
    <w:p w:rsidR="00FC3028" w:rsidRPr="0000319C" w:rsidRDefault="00FC3028" w:rsidP="00FC3028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0319C">
        <w:rPr>
          <w:rFonts w:ascii="Times New Roman" w:hAnsi="Times New Roman" w:cs="Times New Roman"/>
          <w:sz w:val="24"/>
          <w:szCs w:val="24"/>
        </w:rPr>
        <w:t>Simple case study or report</w:t>
      </w:r>
    </w:p>
    <w:p w:rsidR="00373FC8" w:rsidRPr="0000319C" w:rsidRDefault="00373FC8" w:rsidP="00373FC8">
      <w:pPr>
        <w:rPr>
          <w:rFonts w:ascii="Times New Roman" w:hAnsi="Times New Roman" w:cs="Times New Roman"/>
          <w:sz w:val="24"/>
          <w:szCs w:val="24"/>
        </w:rPr>
      </w:pPr>
    </w:p>
    <w:p w:rsidR="00373FC8" w:rsidRPr="0000319C" w:rsidRDefault="00373FC8" w:rsidP="00373FC8">
      <w:pPr>
        <w:rPr>
          <w:rFonts w:ascii="Times New Roman" w:hAnsi="Times New Roman" w:cs="Times New Roman"/>
          <w:sz w:val="24"/>
          <w:szCs w:val="24"/>
        </w:rPr>
      </w:pPr>
    </w:p>
    <w:p w:rsidR="00373FC8" w:rsidRPr="0000319C" w:rsidRDefault="00373FC8" w:rsidP="00373FC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0319C">
        <w:rPr>
          <w:rFonts w:ascii="Times New Roman" w:hAnsi="Times New Roman" w:cs="Times New Roman"/>
          <w:b/>
          <w:bCs/>
          <w:sz w:val="24"/>
          <w:szCs w:val="24"/>
        </w:rPr>
        <w:t>Course Outcomes (COs)</w:t>
      </w:r>
    </w:p>
    <w:p w:rsidR="00373FC8" w:rsidRDefault="00373FC8" w:rsidP="00373FC8">
      <w:pPr>
        <w:rPr>
          <w:rFonts w:ascii="Times New Roman" w:hAnsi="Times New Roman" w:cs="Times New Roman"/>
          <w:sz w:val="24"/>
          <w:szCs w:val="24"/>
        </w:rPr>
      </w:pPr>
    </w:p>
    <w:p w:rsidR="00862F20" w:rsidRDefault="00862F20" w:rsidP="00373FC8">
      <w:pPr>
        <w:rPr>
          <w:rFonts w:ascii="Times New Roman" w:hAnsi="Times New Roman" w:cs="Times New Roman"/>
          <w:sz w:val="24"/>
          <w:szCs w:val="24"/>
        </w:rPr>
      </w:pPr>
      <w:r w:rsidRPr="0000319C">
        <w:rPr>
          <w:rFonts w:ascii="Times New Roman" w:hAnsi="Times New Roman" w:cs="Times New Roman"/>
          <w:b/>
          <w:bCs/>
          <w:sz w:val="24"/>
          <w:szCs w:val="24"/>
        </w:rPr>
        <w:t>CO–PO Mapping Matrix</w:t>
      </w:r>
    </w:p>
    <w:tbl>
      <w:tblPr>
        <w:tblW w:w="7680" w:type="dxa"/>
        <w:tblLook w:val="04A0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862F20" w:rsidRPr="00862F20" w:rsidTr="00862F20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</w:rPr>
              <w:t>CO \ PO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</w:rPr>
              <w:t>PO1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</w:rPr>
              <w:t>PO2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</w:rPr>
              <w:t>PO3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</w:rPr>
              <w:t>PO4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</w:rPr>
              <w:t>PO5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</w:rPr>
              <w:t>PO6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</w:rPr>
              <w:t>PO7</w:t>
            </w:r>
          </w:p>
        </w:tc>
      </w:tr>
      <w:tr w:rsidR="00862F20" w:rsidRPr="00862F20" w:rsidTr="00862F20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</w:rPr>
              <w:t>CO1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  <w:t>1</w:t>
            </w:r>
          </w:p>
        </w:tc>
      </w:tr>
      <w:tr w:rsidR="00862F20" w:rsidRPr="00862F20" w:rsidTr="00862F20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</w:rPr>
              <w:t>CO2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  <w:t>–</w:t>
            </w:r>
          </w:p>
        </w:tc>
      </w:tr>
      <w:tr w:rsidR="00862F20" w:rsidRPr="00862F20" w:rsidTr="00862F20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</w:rPr>
              <w:t>CO3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  <w:t>–</w:t>
            </w:r>
          </w:p>
        </w:tc>
      </w:tr>
      <w:tr w:rsidR="00862F20" w:rsidRPr="00862F20" w:rsidTr="00862F20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</w:rPr>
              <w:t>CO4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  <w:t>–</w:t>
            </w:r>
          </w:p>
        </w:tc>
      </w:tr>
      <w:tr w:rsidR="00862F20" w:rsidRPr="00862F20" w:rsidTr="00862F20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</w:rPr>
              <w:t>CO5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  <w:t>–</w:t>
            </w:r>
          </w:p>
        </w:tc>
      </w:tr>
      <w:tr w:rsidR="00862F20" w:rsidRPr="00862F20" w:rsidTr="00862F20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</w:rPr>
              <w:t>CO6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F20" w:rsidRPr="00862F20" w:rsidRDefault="00862F20" w:rsidP="00862F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</w:pPr>
            <w:r w:rsidRPr="00862F20">
              <w:rPr>
                <w:rFonts w:ascii="Calibri" w:eastAsia="Times New Roman" w:hAnsi="Calibri" w:cs="Calibri"/>
                <w:color w:val="000000"/>
                <w:kern w:val="0"/>
                <w:lang w:eastAsia="en-IN"/>
              </w:rPr>
              <w:t>1</w:t>
            </w:r>
          </w:p>
        </w:tc>
      </w:tr>
    </w:tbl>
    <w:p w:rsidR="00862F20" w:rsidRPr="0000319C" w:rsidRDefault="00862F20" w:rsidP="00373FC8">
      <w:pPr>
        <w:rPr>
          <w:rFonts w:ascii="Times New Roman" w:hAnsi="Times New Roman" w:cs="Times New Roman"/>
          <w:sz w:val="24"/>
          <w:szCs w:val="24"/>
        </w:rPr>
      </w:pPr>
    </w:p>
    <w:sectPr w:rsidR="00862F20" w:rsidRPr="0000319C" w:rsidSect="00780994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5474" w:rsidRDefault="006B5474" w:rsidP="005B6AE9">
      <w:pPr>
        <w:spacing w:after="0" w:line="240" w:lineRule="auto"/>
      </w:pPr>
      <w:r>
        <w:separator/>
      </w:r>
    </w:p>
  </w:endnote>
  <w:endnote w:type="continuationSeparator" w:id="1">
    <w:p w:rsidR="006B5474" w:rsidRDefault="006B5474" w:rsidP="005B6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5474" w:rsidRDefault="006B5474" w:rsidP="005B6AE9">
      <w:pPr>
        <w:spacing w:after="0" w:line="240" w:lineRule="auto"/>
      </w:pPr>
      <w:r>
        <w:separator/>
      </w:r>
    </w:p>
  </w:footnote>
  <w:footnote w:type="continuationSeparator" w:id="1">
    <w:p w:rsidR="006B5474" w:rsidRDefault="006B5474" w:rsidP="005B6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AE9" w:rsidRPr="005B6AE9" w:rsidRDefault="005B6AE9">
    <w:pPr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61049"/>
    <w:multiLevelType w:val="multilevel"/>
    <w:tmpl w:val="D02CD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0F58A8"/>
    <w:multiLevelType w:val="multilevel"/>
    <w:tmpl w:val="C16C0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F72C99"/>
    <w:multiLevelType w:val="multilevel"/>
    <w:tmpl w:val="5210B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C1C66B5"/>
    <w:multiLevelType w:val="multilevel"/>
    <w:tmpl w:val="D5C80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8A1CCE"/>
    <w:multiLevelType w:val="multilevel"/>
    <w:tmpl w:val="636EE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EB366EF"/>
    <w:multiLevelType w:val="multilevel"/>
    <w:tmpl w:val="37FC3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A6D6290"/>
    <w:multiLevelType w:val="multilevel"/>
    <w:tmpl w:val="11D22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0B4192C"/>
    <w:multiLevelType w:val="multilevel"/>
    <w:tmpl w:val="E6B0A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D9C4C2A"/>
    <w:multiLevelType w:val="multilevel"/>
    <w:tmpl w:val="668C6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F3226D3"/>
    <w:multiLevelType w:val="multilevel"/>
    <w:tmpl w:val="66F08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8"/>
  </w:num>
  <w:num w:numId="5">
    <w:abstractNumId w:val="9"/>
  </w:num>
  <w:num w:numId="6">
    <w:abstractNumId w:val="6"/>
  </w:num>
  <w:num w:numId="7">
    <w:abstractNumId w:val="0"/>
  </w:num>
  <w:num w:numId="8">
    <w:abstractNumId w:val="4"/>
  </w:num>
  <w:num w:numId="9">
    <w:abstractNumId w:val="1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2003"/>
    <w:rsid w:val="00000427"/>
    <w:rsid w:val="0000319C"/>
    <w:rsid w:val="00062883"/>
    <w:rsid w:val="000658B4"/>
    <w:rsid w:val="001B4DF2"/>
    <w:rsid w:val="001F2436"/>
    <w:rsid w:val="002431AA"/>
    <w:rsid w:val="00247E76"/>
    <w:rsid w:val="0025112E"/>
    <w:rsid w:val="002C2896"/>
    <w:rsid w:val="002C794E"/>
    <w:rsid w:val="00373FC8"/>
    <w:rsid w:val="00395600"/>
    <w:rsid w:val="003D5BDF"/>
    <w:rsid w:val="00423FC2"/>
    <w:rsid w:val="00441E5C"/>
    <w:rsid w:val="005160DB"/>
    <w:rsid w:val="00543332"/>
    <w:rsid w:val="005622E5"/>
    <w:rsid w:val="005949F2"/>
    <w:rsid w:val="0059644C"/>
    <w:rsid w:val="005B6AE9"/>
    <w:rsid w:val="005F04D9"/>
    <w:rsid w:val="005F51E1"/>
    <w:rsid w:val="006618B3"/>
    <w:rsid w:val="00673CC7"/>
    <w:rsid w:val="0069017E"/>
    <w:rsid w:val="006A3D46"/>
    <w:rsid w:val="006A3DF8"/>
    <w:rsid w:val="006B5474"/>
    <w:rsid w:val="00705C99"/>
    <w:rsid w:val="00744012"/>
    <w:rsid w:val="00780994"/>
    <w:rsid w:val="00862F20"/>
    <w:rsid w:val="00877741"/>
    <w:rsid w:val="008C69D3"/>
    <w:rsid w:val="008D7A4D"/>
    <w:rsid w:val="009E17F2"/>
    <w:rsid w:val="00AB2E01"/>
    <w:rsid w:val="00AC0B8F"/>
    <w:rsid w:val="00B358D4"/>
    <w:rsid w:val="00BF26B5"/>
    <w:rsid w:val="00C8090C"/>
    <w:rsid w:val="00CE4EA6"/>
    <w:rsid w:val="00D03548"/>
    <w:rsid w:val="00D23780"/>
    <w:rsid w:val="00D5548E"/>
    <w:rsid w:val="00D91E9D"/>
    <w:rsid w:val="00E03101"/>
    <w:rsid w:val="00E6516C"/>
    <w:rsid w:val="00F021B6"/>
    <w:rsid w:val="00F208D1"/>
    <w:rsid w:val="00F75F8B"/>
    <w:rsid w:val="00FC3028"/>
    <w:rsid w:val="00FF20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994"/>
  </w:style>
  <w:style w:type="paragraph" w:styleId="Heading1">
    <w:name w:val="heading 1"/>
    <w:basedOn w:val="Normal"/>
    <w:next w:val="Normal"/>
    <w:link w:val="Heading1Char"/>
    <w:uiPriority w:val="9"/>
    <w:qFormat/>
    <w:rsid w:val="00FF20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20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200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20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200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20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20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20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20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200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20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200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200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200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200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200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200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200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20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20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20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20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20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200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200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200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200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200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2003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6A3D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517</Words>
  <Characters>2948</Characters>
  <Application>Microsoft Office Word</Application>
  <DocSecurity>0</DocSecurity>
  <Lines>24</Lines>
  <Paragraphs>6</Paragraphs>
  <ScaleCrop>false</ScaleCrop>
  <Company/>
  <LinksUpToDate>false</LinksUpToDate>
  <CharactersWithSpaces>3459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NAVEEN KUMAR</dc:creator>
  <cp:keywords/>
  <dc:description/>
  <cp:lastModifiedBy>SBTET</cp:lastModifiedBy>
  <cp:revision>43</cp:revision>
  <dcterms:created xsi:type="dcterms:W3CDTF">2026-01-07T07:58:00Z</dcterms:created>
  <dcterms:modified xsi:type="dcterms:W3CDTF">2026-02-02T07:01:00Z</dcterms:modified>
</cp:coreProperties>
</file>